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drawing>
          <wp:inline distT="0" distB="0" distL="114300" distR="114300">
            <wp:extent cx="3876040" cy="5614670"/>
            <wp:effectExtent l="0" t="0" r="10160" b="8890"/>
            <wp:docPr id="26625" name="内容占位符 7" descr="糖酵解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25" name="内容占位符 7" descr="糖酵解"/>
                    <pic:cNvPicPr>
                      <a:picLocks noGrp="1" noChangeAspect="1"/>
                    </pic:cNvPicPr>
                  </pic:nvPicPr>
                  <pic:blipFill>
                    <a:blip r:embed="rId4"/>
                    <a:srcRect l="2687" t="2879" r="1414" b="2878"/>
                    <a:stretch>
                      <a:fillRect/>
                    </a:stretch>
                  </pic:blipFill>
                  <pic:spPr>
                    <a:xfrm>
                      <a:off x="0" y="0"/>
                      <a:ext cx="3876040" cy="56146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jc w:val="left"/>
        <w:rPr>
          <w:rFonts w:hint="eastAsia" w:ascii="Times New Roman" w:hAnsi="Times New Roman"/>
          <w:b w:val="0"/>
          <w:i w:val="0"/>
          <w:sz w:val="21"/>
          <w:szCs w:val="21"/>
          <w:lang w:val="en-US" w:eastAsia="zh-CN"/>
        </w:rPr>
      </w:pPr>
    </w:p>
    <w:p>
      <w:pPr>
        <w:jc w:val="left"/>
        <w:rPr>
          <w:rFonts w:hint="eastAsia" w:ascii="Times New Roman" w:hAnsi="Times New Roman"/>
          <w:b w:val="0"/>
          <w:i w:val="0"/>
          <w:sz w:val="21"/>
          <w:szCs w:val="21"/>
          <w:lang w:val="en-US" w:eastAsia="zh-CN"/>
        </w:rPr>
      </w:pPr>
      <w:r>
        <w:rPr>
          <w:rFonts w:hint="eastAsia" w:ascii="Times New Roman" w:hAnsi="Times New Roman"/>
          <w:b w:val="0"/>
          <w:i w:val="0"/>
          <w:sz w:val="21"/>
          <w:szCs w:val="21"/>
          <w:lang w:val="en-US" w:eastAsia="zh-CN"/>
        </w:rPr>
        <w:t>Fig.S1 Representative KEGG pathway for Glycolysis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Times New Roman" w:hAnsi="Times New Roman"/>
          <w:b w:val="0"/>
          <w:i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i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Blue signifies </w:t>
      </w:r>
      <w:r>
        <w:rPr>
          <w:rFonts w:hint="default" w:ascii="Times New Roman" w:hAnsi="Times New Roman" w:cs="Times New Roman"/>
          <w:b w:val="0"/>
          <w:i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down-regulated </w:t>
      </w:r>
      <w:r>
        <w:rPr>
          <w:rFonts w:hint="eastAsia" w:ascii="Times New Roman" w:hAnsi="Times New Roman"/>
          <w:b w:val="0"/>
          <w:i w:val="0"/>
          <w:sz w:val="21"/>
          <w:szCs w:val="21"/>
          <w:lang w:val="en-US" w:eastAsia="zh-CN"/>
        </w:rPr>
        <w:t xml:space="preserve">mRNA splicing associated </w:t>
      </w:r>
      <w:r>
        <w:rPr>
          <w:rFonts w:hint="default" w:ascii="Times New Roman" w:hAnsi="Times New Roman" w:cs="Times New Roman"/>
          <w:b w:val="0"/>
          <w:i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proteins</w:t>
      </w:r>
      <w:r>
        <w:rPr>
          <w:rFonts w:hint="eastAsia" w:ascii="Times New Roman" w:hAnsi="Times New Roman" w:cs="Times New Roman"/>
          <w:b w:val="0"/>
          <w:i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in aging HSPCs compare with young HSPCs; Red signifies up</w:t>
      </w:r>
      <w:r>
        <w:rPr>
          <w:rFonts w:hint="default" w:ascii="Times New Roman" w:hAnsi="Times New Roman" w:cs="Times New Roman"/>
          <w:b w:val="0"/>
          <w:i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-regulated </w:t>
      </w:r>
      <w:r>
        <w:rPr>
          <w:rFonts w:hint="eastAsia" w:ascii="Times New Roman" w:hAnsi="Times New Roman"/>
          <w:b w:val="0"/>
          <w:i w:val="0"/>
          <w:sz w:val="21"/>
          <w:szCs w:val="21"/>
          <w:lang w:val="en-US" w:eastAsia="zh-CN"/>
        </w:rPr>
        <w:t xml:space="preserve">mRNA splicing associated </w:t>
      </w:r>
      <w:r>
        <w:rPr>
          <w:rFonts w:hint="default" w:ascii="Times New Roman" w:hAnsi="Times New Roman" w:cs="Times New Roman"/>
          <w:b w:val="0"/>
          <w:i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proteins</w:t>
      </w:r>
      <w:r>
        <w:rPr>
          <w:rFonts w:hint="eastAsia" w:ascii="Times New Roman" w:hAnsi="Times New Roman" w:cs="Times New Roman"/>
          <w:b w:val="0"/>
          <w:i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in aging HSPCs compare with young HSPCs.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Times New Roman" w:hAnsi="Times New Roman"/>
          <w:b w:val="0"/>
          <w:i w:val="0"/>
          <w:sz w:val="24"/>
          <w:lang w:val="en-US" w:eastAsia="zh-CN"/>
        </w:rPr>
      </w:pPr>
    </w:p>
    <w:p/>
    <w:p/>
    <w:p/>
    <w:p/>
    <w:p/>
    <w:p/>
    <w:p/>
    <w:p/>
    <w:p/>
    <w:p>
      <w:r>
        <w:drawing>
          <wp:anchor distT="0" distB="0" distL="114935" distR="114935" simplePos="0" relativeHeight="251658240" behindDoc="0" locked="0" layoutInCell="1" allowOverlap="1">
            <wp:simplePos x="0" y="0"/>
            <wp:positionH relativeFrom="column">
              <wp:posOffset>448945</wp:posOffset>
            </wp:positionH>
            <wp:positionV relativeFrom="paragraph">
              <wp:posOffset>17780</wp:posOffset>
            </wp:positionV>
            <wp:extent cx="3846195" cy="2805430"/>
            <wp:effectExtent l="0" t="0" r="9525" b="13970"/>
            <wp:wrapNone/>
            <wp:docPr id="25602" name="图片 3" descr="溶酶体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02" name="图片 3" descr="溶酶体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46195" cy="28054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/>
    <w:p/>
    <w:p/>
    <w:p/>
    <w:p/>
    <w:p/>
    <w:p/>
    <w:p/>
    <w:p/>
    <w:p/>
    <w:p/>
    <w:p/>
    <w:p/>
    <w:p/>
    <w:p>
      <w:pPr>
        <w:jc w:val="left"/>
        <w:rPr>
          <w:rFonts w:hint="default"/>
          <w:sz w:val="21"/>
          <w:szCs w:val="21"/>
          <w:lang w:val="en-US"/>
        </w:rPr>
      </w:pPr>
      <w:r>
        <w:rPr>
          <w:rFonts w:hint="eastAsia" w:ascii="Times New Roman" w:hAnsi="Times New Roman"/>
          <w:b w:val="0"/>
          <w:i w:val="0"/>
          <w:sz w:val="21"/>
          <w:szCs w:val="21"/>
          <w:lang w:val="en-US" w:eastAsia="zh-CN"/>
        </w:rPr>
        <w:t>Fig.S2 Representative KEGG pathway for Lysosome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Times New Roman" w:hAnsi="Times New Roman" w:cs="Times New Roman"/>
          <w:b w:val="0"/>
          <w:i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 w:val="0"/>
          <w:i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Red signifies up</w:t>
      </w:r>
      <w:r>
        <w:rPr>
          <w:rFonts w:hint="default" w:ascii="Times New Roman" w:hAnsi="Times New Roman" w:cs="Times New Roman"/>
          <w:b w:val="0"/>
          <w:i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-regulated </w:t>
      </w:r>
      <w:r>
        <w:rPr>
          <w:rFonts w:hint="eastAsia" w:ascii="Times New Roman" w:hAnsi="Times New Roman"/>
          <w:b w:val="0"/>
          <w:i w:val="0"/>
          <w:sz w:val="21"/>
          <w:szCs w:val="21"/>
          <w:lang w:val="en-US" w:eastAsia="zh-CN"/>
        </w:rPr>
        <w:t xml:space="preserve">mRNA splicing associated </w:t>
      </w:r>
      <w:r>
        <w:rPr>
          <w:rFonts w:hint="default" w:ascii="Times New Roman" w:hAnsi="Times New Roman" w:cs="Times New Roman"/>
          <w:b w:val="0"/>
          <w:i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proteins</w:t>
      </w:r>
      <w:r>
        <w:rPr>
          <w:rFonts w:hint="eastAsia" w:ascii="Times New Roman" w:hAnsi="Times New Roman" w:cs="Times New Roman"/>
          <w:b w:val="0"/>
          <w:i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in aging HSPCs compare with young HSPCs.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Times New Roman" w:hAnsi="Times New Roman" w:cs="Times New Roman"/>
          <w:b w:val="0"/>
          <w:i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Times New Roman" w:hAnsi="Times New Roman" w:cs="Times New Roman"/>
          <w:b w:val="0"/>
          <w:i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drawing>
          <wp:anchor distT="0" distB="0" distL="114935" distR="114935" simplePos="0" relativeHeight="251660288" behindDoc="0" locked="0" layoutInCell="1" allowOverlap="1">
            <wp:simplePos x="0" y="0"/>
            <wp:positionH relativeFrom="column">
              <wp:posOffset>394970</wp:posOffset>
            </wp:positionH>
            <wp:positionV relativeFrom="paragraph">
              <wp:posOffset>6350</wp:posOffset>
            </wp:positionV>
            <wp:extent cx="1749425" cy="2261235"/>
            <wp:effectExtent l="0" t="0" r="3175" b="9525"/>
            <wp:wrapNone/>
            <wp:docPr id="27650" name="图片 4" descr="核糖体生物合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50" name="图片 4" descr="核糖体生物合成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49425" cy="22612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r>
        <w:drawing>
          <wp:anchor distT="0" distB="0" distL="114935" distR="114935" simplePos="0" relativeHeight="251659264" behindDoc="0" locked="0" layoutInCell="1" allowOverlap="1">
            <wp:simplePos x="0" y="0"/>
            <wp:positionH relativeFrom="column">
              <wp:posOffset>2362200</wp:posOffset>
            </wp:positionH>
            <wp:positionV relativeFrom="paragraph">
              <wp:posOffset>182245</wp:posOffset>
            </wp:positionV>
            <wp:extent cx="1716405" cy="1337310"/>
            <wp:effectExtent l="0" t="0" r="5715" b="3810"/>
            <wp:wrapNone/>
            <wp:docPr id="27649" name="内容占位符 3" descr="核糖体蛋白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49" name="内容占位符 3" descr="核糖体蛋白"/>
                    <pic:cNvPicPr>
                      <a:picLocks noGrp="1"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16405" cy="13373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/>
    <w:p/>
    <w:p/>
    <w:p/>
    <w:p/>
    <w:p/>
    <w:p/>
    <w:p/>
    <w:p/>
    <w:p/>
    <w:p>
      <w:pPr>
        <w:jc w:val="left"/>
        <w:rPr>
          <w:rFonts w:hint="eastAsia" w:ascii="Times New Roman" w:hAnsi="Times New Roman"/>
          <w:b w:val="0"/>
          <w:i w:val="0"/>
          <w:sz w:val="24"/>
          <w:lang w:val="en-US" w:eastAsia="zh-CN"/>
        </w:rPr>
      </w:pPr>
      <w:r>
        <w:rPr>
          <w:rFonts w:hint="eastAsia" w:ascii="Times New Roman" w:hAnsi="Times New Roman"/>
          <w:b w:val="0"/>
          <w:i w:val="0"/>
          <w:sz w:val="24"/>
          <w:lang w:val="en-US" w:eastAsia="zh-CN"/>
        </w:rPr>
        <w:t>Fig.S3 Representative KEGG pathway for Ribosome</w:t>
      </w:r>
    </w:p>
    <w:p>
      <w:pPr>
        <w:jc w:val="left"/>
        <w:rPr>
          <w:rFonts w:hint="default" w:ascii="Times New Roman" w:hAnsi="Times New Roman"/>
          <w:b w:val="0"/>
          <w:i w:val="0"/>
          <w:sz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i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Blue signifies </w:t>
      </w:r>
      <w:r>
        <w:rPr>
          <w:rFonts w:hint="default" w:ascii="Times New Roman" w:hAnsi="Times New Roman" w:cs="Times New Roman"/>
          <w:b w:val="0"/>
          <w:i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down-regulated </w:t>
      </w:r>
      <w:r>
        <w:rPr>
          <w:rFonts w:hint="eastAsia" w:ascii="Times New Roman" w:hAnsi="Times New Roman"/>
          <w:b w:val="0"/>
          <w:i w:val="0"/>
          <w:sz w:val="21"/>
          <w:szCs w:val="21"/>
          <w:lang w:val="en-US" w:eastAsia="zh-CN"/>
        </w:rPr>
        <w:t xml:space="preserve">mRNA splicing associated </w:t>
      </w:r>
      <w:r>
        <w:rPr>
          <w:rFonts w:hint="default" w:ascii="Times New Roman" w:hAnsi="Times New Roman" w:cs="Times New Roman"/>
          <w:b w:val="0"/>
          <w:i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proteins</w:t>
      </w:r>
      <w:r>
        <w:rPr>
          <w:rFonts w:hint="eastAsia" w:ascii="Times New Roman" w:hAnsi="Times New Roman" w:cs="Times New Roman"/>
          <w:b w:val="0"/>
          <w:i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in aging HSPCs compare with young HSPCs;</w:t>
      </w:r>
    </w:p>
    <w:p/>
    <w:p/>
    <w:p/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530949"/>
    <w:rsid w:val="001218A8"/>
    <w:rsid w:val="261F1C76"/>
    <w:rsid w:val="40FB2544"/>
    <w:rsid w:val="423E5905"/>
    <w:rsid w:val="43945EE8"/>
    <w:rsid w:val="51530949"/>
    <w:rsid w:val="75EE7EF5"/>
    <w:rsid w:val="7A406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2019-05-06T01:01:00Z</dcterms:created>
  <dc:creator>聆听潇潇雨</dc:creator>
  <cp:lastModifiedBy>聆听潇潇雨</cp:lastModifiedBy>
  <dcterms:modified xsi:type="dcterms:W3CDTF">2019-05-30T22:51:35Z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